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C589" w14:textId="2563F64A" w:rsidR="00ED266A" w:rsidRDefault="00AA48F4" w:rsidP="00DA72D3">
      <w:pPr>
        <w:spacing w:after="80"/>
      </w:pPr>
      <w:r>
        <w:t>Henri Prévot</w:t>
      </w:r>
      <w:r w:rsidR="009370B6">
        <w:tab/>
      </w:r>
      <w:r w:rsidR="009370B6">
        <w:tab/>
      </w:r>
      <w:r w:rsidR="009370B6">
        <w:tab/>
      </w:r>
      <w:r w:rsidR="009370B6">
        <w:tab/>
      </w:r>
      <w:r w:rsidR="009370B6">
        <w:tab/>
      </w:r>
      <w:r w:rsidR="009370B6">
        <w:tab/>
      </w:r>
      <w:r w:rsidR="009370B6">
        <w:tab/>
      </w:r>
      <w:r w:rsidR="009370B6">
        <w:tab/>
      </w:r>
      <w:r w:rsidR="009370B6">
        <w:tab/>
        <w:t>Août 2025</w:t>
      </w:r>
    </w:p>
    <w:p w14:paraId="61A74739" w14:textId="5D87A0A2" w:rsidR="00AA48F4" w:rsidRDefault="00AA48F4" w:rsidP="00DA72D3">
      <w:pPr>
        <w:spacing w:after="80"/>
        <w:jc w:val="center"/>
      </w:pPr>
      <w:r>
        <w:t>En Corse, produire de l’électricité à partir d’un petit réacteur nucléaire</w:t>
      </w:r>
      <w:r w:rsidR="00410A4F">
        <w:t> ?</w:t>
      </w:r>
    </w:p>
    <w:p w14:paraId="2B1F0040" w14:textId="097103F1" w:rsidR="00391FA1" w:rsidRDefault="00391FA1" w:rsidP="00DA72D3">
      <w:pPr>
        <w:spacing w:after="80"/>
      </w:pPr>
      <w:r>
        <w:t>A relire</w:t>
      </w:r>
    </w:p>
    <w:p w14:paraId="787AA707" w14:textId="6DCB4B92" w:rsidR="00FB5FCE" w:rsidRDefault="00FB5FCE" w:rsidP="00DA72D3">
      <w:pPr>
        <w:spacing w:after="80"/>
      </w:pPr>
      <w:r>
        <w:t>Cette étude compare q</w:t>
      </w:r>
      <w:r>
        <w:t>uatre jeux d’hypothèses représent</w:t>
      </w:r>
      <w:r w:rsidR="00410A4F">
        <w:t>a</w:t>
      </w:r>
      <w:r>
        <w:t>nt des situations plausibles vers 2035-2040</w:t>
      </w:r>
      <w:r w:rsidR="00410A4F">
        <w:t>.</w:t>
      </w:r>
    </w:p>
    <w:p w14:paraId="4320097B" w14:textId="0ED7828A" w:rsidR="00410A4F" w:rsidRDefault="00410A4F" w:rsidP="00DA72D3">
      <w:pPr>
        <w:spacing w:after="80"/>
      </w:pPr>
      <w:r>
        <w:t>La consommation finale est 2600 MWh/an soit, avant les pertes en ligne (13%), 2940 MWh/an</w:t>
      </w:r>
      <w:r>
        <w:t xml:space="preserve"> (hypothèse RTE)</w:t>
      </w:r>
      <w:r>
        <w:t>.</w:t>
      </w:r>
    </w:p>
    <w:p w14:paraId="6EAB77CE" w14:textId="32963AAE" w:rsidR="00410A4F" w:rsidRPr="00410A4F" w:rsidRDefault="00410A4F" w:rsidP="00DA72D3">
      <w:pPr>
        <w:spacing w:after="80"/>
        <w:ind w:left="567"/>
        <w:rPr>
          <w:sz w:val="20"/>
          <w:szCs w:val="20"/>
        </w:rPr>
      </w:pPr>
      <w:r w:rsidRPr="00410A4F">
        <w:rPr>
          <w:sz w:val="20"/>
          <w:szCs w:val="20"/>
        </w:rPr>
        <w:t>Pour cette étude, faute d’informations plus précises, le  profil horaire de la consommation est le même que ce qu’il fut en métropole en l’année 2012. Cette année a été choisie comme référence car le rapport entre la consommation de pointe et la consommation annuelle est le même que ce qu’il fut en 2023 en Corse. Il sera facile d’introduire dans le simulateur le profil réel de consommation en Corse.</w:t>
      </w:r>
    </w:p>
    <w:p w14:paraId="2CBC6B9E" w14:textId="0EF7BB50" w:rsidR="00410A4F" w:rsidRDefault="00410A4F" w:rsidP="00DA72D3">
      <w:pPr>
        <w:spacing w:after="80"/>
      </w:pPr>
      <w:r>
        <w:t>La production hydraulique est 550 GWh, la puissance maximale est 200 MW  (hypothèses RTE).</w:t>
      </w:r>
    </w:p>
    <w:p w14:paraId="20FEC900" w14:textId="61864B93" w:rsidR="00410A4F" w:rsidRDefault="00410A4F" w:rsidP="00DA72D3">
      <w:pPr>
        <w:spacing w:after="80"/>
      </w:pPr>
      <w:r>
        <w:t>Le total des flexibilités de la consommation et de la production hydraulique et des capacités de stockage (batteries et Steps) a le même effet qu’une batterie de 700 MWh.</w:t>
      </w:r>
    </w:p>
    <w:p w14:paraId="178A9A7D" w14:textId="16B2FC0A" w:rsidR="00410A4F" w:rsidRDefault="00410A4F" w:rsidP="00DA72D3">
      <w:pPr>
        <w:spacing w:after="80"/>
      </w:pPr>
      <w:r>
        <w:t>Pour la stabilité du réseau, il faut l’inertie apportée par une capacité de machines tournantes de production de 150 MW. Cette limite minimum peut être abaissée de 50 MW par des dispositifs spécifiques.</w:t>
      </w:r>
      <w:r>
        <w:t xml:space="preserve"> RTE mentionne le besoin de dispositifs spécifiques sans le quantifier.</w:t>
      </w:r>
      <w:r w:rsidR="00FA700C">
        <w:t xml:space="preserve"> La valeur retenue ici est donnée à titre illustratif et devrait être validée.</w:t>
      </w:r>
    </w:p>
    <w:p w14:paraId="2B990FA3" w14:textId="4FB0E807" w:rsidR="004A33C9" w:rsidRDefault="004A33C9" w:rsidP="00DA72D3">
      <w:pPr>
        <w:spacing w:after="80"/>
      </w:pPr>
      <w:r>
        <w:t>Toutes les données sur les caractéristiques des équipements et leurs coûts figurent sur un documents pdf accessible à la demande. Le simulateur, lui, est publié sur internet.</w:t>
      </w:r>
    </w:p>
    <w:p w14:paraId="2F1A00E8" w14:textId="7CB7A831" w:rsidR="00410A4F" w:rsidRPr="00FA700C" w:rsidRDefault="00410A4F" w:rsidP="00DA72D3">
      <w:pPr>
        <w:spacing w:after="80"/>
        <w:rPr>
          <w:b/>
          <w:bCs/>
        </w:rPr>
      </w:pPr>
      <w:r w:rsidRPr="00FA700C">
        <w:rPr>
          <w:b/>
          <w:bCs/>
        </w:rPr>
        <w:t>Les quatre hypothèses</w:t>
      </w:r>
      <w:r w:rsidR="00FB5FCE" w:rsidRPr="00FA700C">
        <w:rPr>
          <w:b/>
          <w:bCs/>
        </w:rPr>
        <w:t xml:space="preserve"> </w:t>
      </w:r>
    </w:p>
    <w:p w14:paraId="1466B5CD" w14:textId="718E06B1" w:rsidR="00FB5FCE" w:rsidRDefault="00410A4F" w:rsidP="00DA72D3">
      <w:pPr>
        <w:spacing w:after="80"/>
      </w:pPr>
      <w:r>
        <w:t xml:space="preserve">   </w:t>
      </w:r>
      <w:r w:rsidR="00FB5FCE" w:rsidRPr="00391FA1">
        <w:rPr>
          <w:b/>
          <w:bCs/>
        </w:rPr>
        <w:t>Sans nucléaire</w:t>
      </w:r>
      <w:r w:rsidR="00FB5FCE">
        <w:t> ; la capacité éolienne est 80 GW ; la capacité photovoltaïque est 500</w:t>
      </w:r>
      <w:r>
        <w:t xml:space="preserve"> GW (hypothèses RTE).</w:t>
      </w:r>
      <w:r w:rsidR="00DA72D3">
        <w:t xml:space="preserve"> Leur possibilité de production est 867 MWh/an.</w:t>
      </w:r>
      <w:r>
        <w:t xml:space="preserve"> Il existe ou non un dispositif </w:t>
      </w:r>
      <w:r>
        <w:t>apportant un complément d’inertie</w:t>
      </w:r>
      <w:r w:rsidR="00FB5FCE">
        <w:t>.</w:t>
      </w:r>
      <w:r>
        <w:t xml:space="preserve"> </w:t>
      </w:r>
    </w:p>
    <w:p w14:paraId="43592F7F" w14:textId="5494DC11" w:rsidR="00FB5FCE" w:rsidRDefault="00FB5FCE" w:rsidP="00DA72D3">
      <w:pPr>
        <w:spacing w:after="80"/>
      </w:pPr>
      <w:r w:rsidRPr="00391FA1">
        <w:rPr>
          <w:b/>
          <w:bCs/>
        </w:rPr>
        <w:t xml:space="preserve">   Avec 200 GW de nucléaire</w:t>
      </w:r>
      <w:r>
        <w:t xml:space="preserve"> et la même – ou la moitié de – la capacité éolienne et photovoltaïque</w:t>
      </w:r>
      <w:r w:rsidR="00391FA1">
        <w:t>. Le montant de l’investissement est 10000 €/kW</w:t>
      </w:r>
      <w:r>
        <w:t xml:space="preserve"> </w:t>
      </w:r>
    </w:p>
    <w:p w14:paraId="3654B083" w14:textId="0C36EA7F" w:rsidR="00FB5FCE" w:rsidRDefault="00FB5FCE" w:rsidP="00DA72D3">
      <w:pPr>
        <w:spacing w:after="80"/>
      </w:pPr>
      <w:r>
        <w:t>Certaines hypothèses sont faites à titre illustratif seulement. Cette incertitude n’a sa</w:t>
      </w:r>
      <w:r w:rsidR="00410A4F">
        <w:t>n</w:t>
      </w:r>
      <w:r>
        <w:t>s doute guère d’effet sur la comparaison entre les quatre jeux d’hypothèses</w:t>
      </w:r>
      <w:r w:rsidR="00410A4F">
        <w:t>.</w:t>
      </w:r>
    </w:p>
    <w:p w14:paraId="3AE765A2" w14:textId="6A04540D" w:rsidR="00AA48F4" w:rsidRDefault="00AA48F4" w:rsidP="00DA72D3">
      <w:pPr>
        <w:spacing w:after="80"/>
      </w:pPr>
      <w:r>
        <w:t>Cette étude a été réalisée à l’aide du simulateur du système électrique SimelSP3</w:t>
      </w:r>
      <w:r w:rsidR="00FB5FCE">
        <w:t>.</w:t>
      </w:r>
    </w:p>
    <w:p w14:paraId="02D39831" w14:textId="71887379" w:rsidR="00FB5FCE" w:rsidRPr="00E73A60" w:rsidRDefault="00FB5FCE" w:rsidP="00DA72D3">
      <w:pPr>
        <w:spacing w:after="80"/>
        <w:ind w:left="284"/>
        <w:rPr>
          <w:sz w:val="20"/>
          <w:szCs w:val="20"/>
        </w:rPr>
      </w:pPr>
      <w:r w:rsidRPr="00E73A60">
        <w:rPr>
          <w:sz w:val="20"/>
          <w:szCs w:val="20"/>
        </w:rPr>
        <w:t>Celui-ci équilibre heure par heure la fourniture d’électricité et la consommation. Il représente deux des services rendus par la flexibilité de la consommation et celle de la production hydraulique et    par les stockages (batteries et steps) : mieux utiliser le potentiel de production intermittent et diminuer le besoin de capacité pilotable. Il tient compte du besoin d’inertie du système nécessaire à la stabilité du réseau.</w:t>
      </w:r>
    </w:p>
    <w:p w14:paraId="45384B5D" w14:textId="3BE0D75A" w:rsidR="00421FD7" w:rsidRDefault="004A33C9" w:rsidP="00DA72D3">
      <w:pPr>
        <w:spacing w:after="80"/>
        <w:rPr>
          <w:b/>
          <w:bCs/>
        </w:rPr>
      </w:pPr>
      <w:r w:rsidRPr="00391FA1">
        <w:rPr>
          <w:b/>
          <w:bCs/>
        </w:rPr>
        <w:t>Quelques r</w:t>
      </w:r>
      <w:r w:rsidR="00421FD7" w:rsidRPr="00391FA1">
        <w:rPr>
          <w:b/>
          <w:bCs/>
        </w:rPr>
        <w:t>ésultats</w:t>
      </w:r>
    </w:p>
    <w:p w14:paraId="24650856" w14:textId="1E0F9C4B" w:rsidR="001C482F" w:rsidRDefault="001C482F" w:rsidP="00DA72D3">
      <w:pPr>
        <w:spacing w:after="80"/>
      </w:pPr>
      <w:r>
        <w:t>Une étude plus fine devrait se référer à de nombreuses hypothèses de profils de consommation et d’activité éolienne et solaire tenant compte de l’évolution du climat et de la consommation</w:t>
      </w:r>
    </w:p>
    <w:p w14:paraId="45BA3744" w14:textId="57EBAD6E" w:rsidR="001C482F" w:rsidRPr="00C53F9E" w:rsidRDefault="00C53F9E" w:rsidP="00DA72D3">
      <w:pPr>
        <w:spacing w:after="80"/>
      </w:pPr>
      <w:r>
        <w:t>Cela dit, les comparaisons entre les quatre colonnes de ce tableur peuvent être éclairantes</w:t>
      </w:r>
    </w:p>
    <w:tbl>
      <w:tblPr>
        <w:tblStyle w:val="Grilledutableau"/>
        <w:tblW w:w="0" w:type="auto"/>
        <w:tblLook w:val="04A0" w:firstRow="1" w:lastRow="0" w:firstColumn="1" w:lastColumn="0" w:noHBand="0" w:noVBand="1"/>
      </w:tblPr>
      <w:tblGrid>
        <w:gridCol w:w="3681"/>
        <w:gridCol w:w="1417"/>
        <w:gridCol w:w="1560"/>
        <w:gridCol w:w="1417"/>
        <w:gridCol w:w="1413"/>
      </w:tblGrid>
      <w:tr w:rsidR="00E73A60" w:rsidRPr="00E73A60" w14:paraId="75008557" w14:textId="77777777" w:rsidTr="00391FA1">
        <w:tc>
          <w:tcPr>
            <w:tcW w:w="3681" w:type="dxa"/>
          </w:tcPr>
          <w:p w14:paraId="621984AF" w14:textId="6E334A08" w:rsidR="00E73A60" w:rsidRPr="00E73A60" w:rsidRDefault="00E73A60" w:rsidP="00DA72D3">
            <w:pPr>
              <w:spacing w:after="80"/>
              <w:rPr>
                <w:sz w:val="20"/>
                <w:szCs w:val="20"/>
              </w:rPr>
            </w:pPr>
          </w:p>
        </w:tc>
        <w:tc>
          <w:tcPr>
            <w:tcW w:w="2977" w:type="dxa"/>
            <w:gridSpan w:val="2"/>
          </w:tcPr>
          <w:p w14:paraId="20B0DBBF" w14:textId="04F648D4" w:rsidR="00E73A60" w:rsidRPr="00E73A60" w:rsidRDefault="00E73A60" w:rsidP="00DA72D3">
            <w:pPr>
              <w:spacing w:after="80"/>
              <w:rPr>
                <w:sz w:val="20"/>
                <w:szCs w:val="20"/>
              </w:rPr>
            </w:pPr>
            <w:r w:rsidRPr="00E73A60">
              <w:rPr>
                <w:sz w:val="20"/>
                <w:szCs w:val="20"/>
              </w:rPr>
              <w:t>Sans nucléaire</w:t>
            </w:r>
          </w:p>
        </w:tc>
        <w:tc>
          <w:tcPr>
            <w:tcW w:w="2830" w:type="dxa"/>
            <w:gridSpan w:val="2"/>
          </w:tcPr>
          <w:p w14:paraId="4018083B" w14:textId="646420AE" w:rsidR="00E73A60" w:rsidRPr="00E73A60" w:rsidRDefault="00E73A60" w:rsidP="00DA72D3">
            <w:pPr>
              <w:spacing w:after="80"/>
              <w:rPr>
                <w:sz w:val="20"/>
                <w:szCs w:val="20"/>
              </w:rPr>
            </w:pPr>
            <w:r>
              <w:rPr>
                <w:sz w:val="20"/>
                <w:szCs w:val="20"/>
              </w:rPr>
              <w:t>200 GW nucléaire</w:t>
            </w:r>
          </w:p>
        </w:tc>
      </w:tr>
      <w:tr w:rsidR="00E73A60" w:rsidRPr="00E73A60" w14:paraId="01894A3B" w14:textId="77777777" w:rsidTr="00391FA1">
        <w:tc>
          <w:tcPr>
            <w:tcW w:w="3681" w:type="dxa"/>
          </w:tcPr>
          <w:p w14:paraId="6F7BE1EE" w14:textId="1B19F5E6" w:rsidR="00E73A60" w:rsidRPr="00E73A60" w:rsidRDefault="00E73A60" w:rsidP="00DA72D3">
            <w:pPr>
              <w:spacing w:after="80"/>
              <w:rPr>
                <w:sz w:val="20"/>
                <w:szCs w:val="20"/>
              </w:rPr>
            </w:pPr>
            <w:r>
              <w:rPr>
                <w:sz w:val="20"/>
                <w:szCs w:val="20"/>
              </w:rPr>
              <w:t>Apport d’inertie</w:t>
            </w:r>
          </w:p>
        </w:tc>
        <w:tc>
          <w:tcPr>
            <w:tcW w:w="1417" w:type="dxa"/>
          </w:tcPr>
          <w:p w14:paraId="7E9761BE" w14:textId="4DFB46DB" w:rsidR="00E73A60" w:rsidRDefault="00E73A60" w:rsidP="00DA72D3">
            <w:pPr>
              <w:spacing w:after="80"/>
              <w:rPr>
                <w:sz w:val="20"/>
                <w:szCs w:val="20"/>
              </w:rPr>
            </w:pPr>
            <w:r>
              <w:rPr>
                <w:sz w:val="20"/>
                <w:szCs w:val="20"/>
              </w:rPr>
              <w:t>0</w:t>
            </w:r>
          </w:p>
        </w:tc>
        <w:tc>
          <w:tcPr>
            <w:tcW w:w="1560" w:type="dxa"/>
          </w:tcPr>
          <w:p w14:paraId="108DA0A6" w14:textId="37AB28EB" w:rsidR="00E73A60" w:rsidRDefault="00E73A60" w:rsidP="00DA72D3">
            <w:pPr>
              <w:spacing w:after="80"/>
              <w:rPr>
                <w:sz w:val="20"/>
                <w:szCs w:val="20"/>
              </w:rPr>
            </w:pPr>
            <w:r>
              <w:rPr>
                <w:sz w:val="20"/>
                <w:szCs w:val="20"/>
              </w:rPr>
              <w:t>50 GW</w:t>
            </w:r>
          </w:p>
        </w:tc>
        <w:tc>
          <w:tcPr>
            <w:tcW w:w="1417" w:type="dxa"/>
          </w:tcPr>
          <w:p w14:paraId="2458C611" w14:textId="3C4D8C53" w:rsidR="00E73A60" w:rsidRPr="00E73A60" w:rsidRDefault="00E73A60" w:rsidP="00DA72D3">
            <w:pPr>
              <w:spacing w:after="80"/>
              <w:rPr>
                <w:sz w:val="20"/>
                <w:szCs w:val="20"/>
              </w:rPr>
            </w:pPr>
            <w:r>
              <w:rPr>
                <w:sz w:val="20"/>
                <w:szCs w:val="20"/>
              </w:rPr>
              <w:t>0</w:t>
            </w:r>
          </w:p>
        </w:tc>
        <w:tc>
          <w:tcPr>
            <w:tcW w:w="1413" w:type="dxa"/>
          </w:tcPr>
          <w:p w14:paraId="7CB331C5" w14:textId="060D1489" w:rsidR="00E73A60" w:rsidRPr="00E73A60" w:rsidRDefault="00E73A60" w:rsidP="00DA72D3">
            <w:pPr>
              <w:spacing w:after="80"/>
              <w:rPr>
                <w:sz w:val="20"/>
                <w:szCs w:val="20"/>
              </w:rPr>
            </w:pPr>
            <w:r>
              <w:rPr>
                <w:sz w:val="20"/>
                <w:szCs w:val="20"/>
              </w:rPr>
              <w:t>0</w:t>
            </w:r>
          </w:p>
        </w:tc>
      </w:tr>
      <w:tr w:rsidR="00391FA1" w:rsidRPr="00E73A60" w14:paraId="4AB44562" w14:textId="77777777" w:rsidTr="00391FA1">
        <w:tc>
          <w:tcPr>
            <w:tcW w:w="3681" w:type="dxa"/>
          </w:tcPr>
          <w:p w14:paraId="7CFFAC99" w14:textId="689D4D58" w:rsidR="001E3FA8" w:rsidRPr="00E73A60" w:rsidRDefault="00E73A60" w:rsidP="00DA72D3">
            <w:pPr>
              <w:spacing w:after="80"/>
              <w:rPr>
                <w:sz w:val="20"/>
                <w:szCs w:val="20"/>
              </w:rPr>
            </w:pPr>
            <w:r>
              <w:rPr>
                <w:sz w:val="20"/>
                <w:szCs w:val="20"/>
              </w:rPr>
              <w:t>Eolien / photovoltaïque</w:t>
            </w:r>
          </w:p>
        </w:tc>
        <w:tc>
          <w:tcPr>
            <w:tcW w:w="1417" w:type="dxa"/>
          </w:tcPr>
          <w:p w14:paraId="778D7339" w14:textId="14E4E5C8" w:rsidR="001E3FA8" w:rsidRPr="00E73A60" w:rsidRDefault="00E73A60" w:rsidP="00DA72D3">
            <w:pPr>
              <w:spacing w:after="80"/>
              <w:rPr>
                <w:sz w:val="20"/>
                <w:szCs w:val="20"/>
              </w:rPr>
            </w:pPr>
            <w:r>
              <w:rPr>
                <w:sz w:val="20"/>
                <w:szCs w:val="20"/>
              </w:rPr>
              <w:t>80  / 500 MW</w:t>
            </w:r>
          </w:p>
        </w:tc>
        <w:tc>
          <w:tcPr>
            <w:tcW w:w="1560" w:type="dxa"/>
          </w:tcPr>
          <w:p w14:paraId="088A457A" w14:textId="0E731812" w:rsidR="001E3FA8" w:rsidRPr="00E73A60" w:rsidRDefault="00E73A60" w:rsidP="00DA72D3">
            <w:pPr>
              <w:spacing w:after="80"/>
              <w:rPr>
                <w:sz w:val="20"/>
                <w:szCs w:val="20"/>
              </w:rPr>
            </w:pPr>
            <w:r>
              <w:rPr>
                <w:sz w:val="20"/>
                <w:szCs w:val="20"/>
              </w:rPr>
              <w:t>80  / 500 MW</w:t>
            </w:r>
          </w:p>
        </w:tc>
        <w:tc>
          <w:tcPr>
            <w:tcW w:w="1417" w:type="dxa"/>
          </w:tcPr>
          <w:p w14:paraId="3B97FEDC" w14:textId="706F24D5" w:rsidR="001E3FA8" w:rsidRPr="00E73A60" w:rsidRDefault="00E73A60" w:rsidP="00DA72D3">
            <w:pPr>
              <w:spacing w:after="80"/>
              <w:rPr>
                <w:sz w:val="20"/>
                <w:szCs w:val="20"/>
              </w:rPr>
            </w:pPr>
            <w:r>
              <w:rPr>
                <w:sz w:val="20"/>
                <w:szCs w:val="20"/>
              </w:rPr>
              <w:t>80  / 500 MW</w:t>
            </w:r>
          </w:p>
        </w:tc>
        <w:tc>
          <w:tcPr>
            <w:tcW w:w="1413" w:type="dxa"/>
          </w:tcPr>
          <w:p w14:paraId="511917D6" w14:textId="0EB70D0B" w:rsidR="001E3FA8" w:rsidRPr="00E73A60" w:rsidRDefault="00E73A60" w:rsidP="00DA72D3">
            <w:pPr>
              <w:spacing w:after="80"/>
              <w:rPr>
                <w:sz w:val="20"/>
                <w:szCs w:val="20"/>
              </w:rPr>
            </w:pPr>
            <w:r>
              <w:rPr>
                <w:sz w:val="20"/>
                <w:szCs w:val="20"/>
              </w:rPr>
              <w:t>40 / 250 MW</w:t>
            </w:r>
          </w:p>
        </w:tc>
      </w:tr>
      <w:tr w:rsidR="00E73A60" w:rsidRPr="00E73A60" w14:paraId="4878E81D" w14:textId="77777777" w:rsidTr="00391FA1">
        <w:tc>
          <w:tcPr>
            <w:tcW w:w="3681" w:type="dxa"/>
          </w:tcPr>
          <w:p w14:paraId="4943055B" w14:textId="6FD11F59" w:rsidR="00E73A60" w:rsidRDefault="00E73A60" w:rsidP="00DA72D3">
            <w:pPr>
              <w:spacing w:after="80"/>
              <w:rPr>
                <w:sz w:val="20"/>
                <w:szCs w:val="20"/>
              </w:rPr>
            </w:pPr>
            <w:r>
              <w:rPr>
                <w:sz w:val="20"/>
                <w:szCs w:val="20"/>
              </w:rPr>
              <w:t>Fossile et import GWh</w:t>
            </w:r>
          </w:p>
        </w:tc>
        <w:tc>
          <w:tcPr>
            <w:tcW w:w="1417" w:type="dxa"/>
          </w:tcPr>
          <w:p w14:paraId="2B315D42" w14:textId="02FE1012" w:rsidR="00E73A60" w:rsidRDefault="00E73A60" w:rsidP="00DA72D3">
            <w:pPr>
              <w:spacing w:after="80"/>
              <w:rPr>
                <w:sz w:val="20"/>
                <w:szCs w:val="20"/>
              </w:rPr>
            </w:pPr>
            <w:r>
              <w:rPr>
                <w:sz w:val="20"/>
                <w:szCs w:val="20"/>
              </w:rPr>
              <w:t>1630 MWh</w:t>
            </w:r>
          </w:p>
        </w:tc>
        <w:tc>
          <w:tcPr>
            <w:tcW w:w="1560" w:type="dxa"/>
          </w:tcPr>
          <w:p w14:paraId="1FD387B8" w14:textId="6A1651F6" w:rsidR="00E73A60" w:rsidRDefault="00E73A60" w:rsidP="00DA72D3">
            <w:pPr>
              <w:spacing w:after="80"/>
              <w:rPr>
                <w:sz w:val="20"/>
                <w:szCs w:val="20"/>
              </w:rPr>
            </w:pPr>
            <w:r>
              <w:rPr>
                <w:sz w:val="20"/>
                <w:szCs w:val="20"/>
              </w:rPr>
              <w:t>1573</w:t>
            </w:r>
            <w:r w:rsidR="00DA72D3">
              <w:rPr>
                <w:sz w:val="20"/>
                <w:szCs w:val="20"/>
              </w:rPr>
              <w:t xml:space="preserve"> MWh</w:t>
            </w:r>
          </w:p>
        </w:tc>
        <w:tc>
          <w:tcPr>
            <w:tcW w:w="1417" w:type="dxa"/>
          </w:tcPr>
          <w:p w14:paraId="110A500D" w14:textId="6378B299" w:rsidR="00E73A60" w:rsidRDefault="00E73A60" w:rsidP="00DA72D3">
            <w:pPr>
              <w:spacing w:after="80"/>
              <w:rPr>
                <w:sz w:val="20"/>
                <w:szCs w:val="20"/>
              </w:rPr>
            </w:pPr>
            <w:r>
              <w:rPr>
                <w:sz w:val="20"/>
                <w:szCs w:val="20"/>
              </w:rPr>
              <w:t>369</w:t>
            </w:r>
          </w:p>
        </w:tc>
        <w:tc>
          <w:tcPr>
            <w:tcW w:w="1413" w:type="dxa"/>
          </w:tcPr>
          <w:p w14:paraId="53ADAAA9" w14:textId="6E056457" w:rsidR="00E73A60" w:rsidRDefault="00E73A60" w:rsidP="00DA72D3">
            <w:pPr>
              <w:spacing w:after="80"/>
              <w:rPr>
                <w:sz w:val="20"/>
                <w:szCs w:val="20"/>
              </w:rPr>
            </w:pPr>
            <w:r>
              <w:rPr>
                <w:sz w:val="20"/>
                <w:szCs w:val="20"/>
              </w:rPr>
              <w:t>586</w:t>
            </w:r>
          </w:p>
        </w:tc>
      </w:tr>
      <w:tr w:rsidR="00391FA1" w:rsidRPr="00E73A60" w14:paraId="0EF9439A" w14:textId="77777777" w:rsidTr="00391FA1">
        <w:tc>
          <w:tcPr>
            <w:tcW w:w="3681" w:type="dxa"/>
          </w:tcPr>
          <w:p w14:paraId="00D695E0" w14:textId="06D9EF17" w:rsidR="001E3FA8" w:rsidRPr="00E73A60" w:rsidRDefault="00E73A60" w:rsidP="00DA72D3">
            <w:pPr>
              <w:spacing w:after="80"/>
              <w:rPr>
                <w:sz w:val="20"/>
                <w:szCs w:val="20"/>
              </w:rPr>
            </w:pPr>
            <w:r>
              <w:rPr>
                <w:sz w:val="20"/>
                <w:szCs w:val="20"/>
              </w:rPr>
              <w:t>Eolien et PV mis sur le réseau</w:t>
            </w:r>
          </w:p>
        </w:tc>
        <w:tc>
          <w:tcPr>
            <w:tcW w:w="1417" w:type="dxa"/>
          </w:tcPr>
          <w:p w14:paraId="43405A9D" w14:textId="52479B40" w:rsidR="001E3FA8" w:rsidRPr="00E73A60" w:rsidRDefault="00E73A60" w:rsidP="00DA72D3">
            <w:pPr>
              <w:spacing w:after="80"/>
              <w:rPr>
                <w:sz w:val="20"/>
                <w:szCs w:val="20"/>
              </w:rPr>
            </w:pPr>
            <w:r>
              <w:rPr>
                <w:sz w:val="20"/>
                <w:szCs w:val="20"/>
              </w:rPr>
              <w:t>646 MWh</w:t>
            </w:r>
          </w:p>
        </w:tc>
        <w:tc>
          <w:tcPr>
            <w:tcW w:w="1560" w:type="dxa"/>
          </w:tcPr>
          <w:p w14:paraId="16E10145" w14:textId="6E12B046" w:rsidR="001E3FA8" w:rsidRPr="00E73A60" w:rsidRDefault="00E73A60" w:rsidP="00DA72D3">
            <w:pPr>
              <w:spacing w:after="80"/>
              <w:rPr>
                <w:sz w:val="20"/>
                <w:szCs w:val="20"/>
              </w:rPr>
            </w:pPr>
            <w:r>
              <w:rPr>
                <w:sz w:val="20"/>
                <w:szCs w:val="20"/>
              </w:rPr>
              <w:t>733 MWh</w:t>
            </w:r>
          </w:p>
        </w:tc>
        <w:tc>
          <w:tcPr>
            <w:tcW w:w="1417" w:type="dxa"/>
          </w:tcPr>
          <w:p w14:paraId="50FA76E7" w14:textId="4910ABC6" w:rsidR="001E3FA8" w:rsidRPr="00E73A60" w:rsidRDefault="00E73A60" w:rsidP="00DA72D3">
            <w:pPr>
              <w:spacing w:after="80"/>
              <w:rPr>
                <w:sz w:val="20"/>
                <w:szCs w:val="20"/>
              </w:rPr>
            </w:pPr>
            <w:r>
              <w:rPr>
                <w:sz w:val="20"/>
                <w:szCs w:val="20"/>
              </w:rPr>
              <w:t>770 MWh</w:t>
            </w:r>
          </w:p>
        </w:tc>
        <w:tc>
          <w:tcPr>
            <w:tcW w:w="1413" w:type="dxa"/>
          </w:tcPr>
          <w:p w14:paraId="33B056A8" w14:textId="1FD4524B" w:rsidR="001E3FA8" w:rsidRPr="00E73A60" w:rsidRDefault="00E73A60" w:rsidP="00DA72D3">
            <w:pPr>
              <w:spacing w:after="80"/>
              <w:rPr>
                <w:sz w:val="20"/>
                <w:szCs w:val="20"/>
              </w:rPr>
            </w:pPr>
            <w:r>
              <w:rPr>
                <w:sz w:val="20"/>
                <w:szCs w:val="20"/>
              </w:rPr>
              <w:t>432 MWh</w:t>
            </w:r>
          </w:p>
        </w:tc>
      </w:tr>
      <w:tr w:rsidR="00391FA1" w:rsidRPr="00E73A60" w14:paraId="0EE41E22" w14:textId="77777777" w:rsidTr="00391FA1">
        <w:tc>
          <w:tcPr>
            <w:tcW w:w="3681" w:type="dxa"/>
          </w:tcPr>
          <w:p w14:paraId="01DC6716" w14:textId="49026535" w:rsidR="00391FA1" w:rsidRDefault="00391FA1" w:rsidP="00DA72D3">
            <w:pPr>
              <w:spacing w:after="80"/>
              <w:rPr>
                <w:sz w:val="20"/>
                <w:szCs w:val="20"/>
              </w:rPr>
            </w:pPr>
            <w:r>
              <w:rPr>
                <w:sz w:val="20"/>
                <w:szCs w:val="20"/>
              </w:rPr>
              <w:t>Capacité pilotable sans importation</w:t>
            </w:r>
            <w:r w:rsidR="00CF4F8D">
              <w:rPr>
                <w:sz w:val="20"/>
                <w:szCs w:val="20"/>
              </w:rPr>
              <w:t>*</w:t>
            </w:r>
          </w:p>
        </w:tc>
        <w:tc>
          <w:tcPr>
            <w:tcW w:w="1417" w:type="dxa"/>
          </w:tcPr>
          <w:p w14:paraId="7F6B7507" w14:textId="1E98474C" w:rsidR="00391FA1" w:rsidRDefault="00391FA1" w:rsidP="00DA72D3">
            <w:pPr>
              <w:spacing w:after="80"/>
              <w:rPr>
                <w:sz w:val="20"/>
                <w:szCs w:val="20"/>
              </w:rPr>
            </w:pPr>
            <w:r>
              <w:rPr>
                <w:sz w:val="20"/>
                <w:szCs w:val="20"/>
              </w:rPr>
              <w:t>421 MW</w:t>
            </w:r>
          </w:p>
        </w:tc>
        <w:tc>
          <w:tcPr>
            <w:tcW w:w="1560" w:type="dxa"/>
          </w:tcPr>
          <w:p w14:paraId="58759D08" w14:textId="63FA5525" w:rsidR="00391FA1" w:rsidRDefault="00391FA1" w:rsidP="00DA72D3">
            <w:pPr>
              <w:spacing w:after="80"/>
              <w:rPr>
                <w:sz w:val="20"/>
                <w:szCs w:val="20"/>
              </w:rPr>
            </w:pPr>
            <w:r>
              <w:rPr>
                <w:sz w:val="20"/>
                <w:szCs w:val="20"/>
              </w:rPr>
              <w:t>421 MW</w:t>
            </w:r>
          </w:p>
        </w:tc>
        <w:tc>
          <w:tcPr>
            <w:tcW w:w="1417" w:type="dxa"/>
          </w:tcPr>
          <w:p w14:paraId="331626AE" w14:textId="4C88948F" w:rsidR="00391FA1" w:rsidRDefault="00582BA1" w:rsidP="00DA72D3">
            <w:pPr>
              <w:spacing w:after="80"/>
              <w:rPr>
                <w:sz w:val="20"/>
                <w:szCs w:val="20"/>
              </w:rPr>
            </w:pPr>
            <w:r>
              <w:rPr>
                <w:sz w:val="20"/>
                <w:szCs w:val="20"/>
              </w:rPr>
              <w:t>245 MW</w:t>
            </w:r>
          </w:p>
        </w:tc>
        <w:tc>
          <w:tcPr>
            <w:tcW w:w="1413" w:type="dxa"/>
          </w:tcPr>
          <w:p w14:paraId="73D6B4D4" w14:textId="10C1DE41" w:rsidR="00391FA1" w:rsidRDefault="001C482F" w:rsidP="00DA72D3">
            <w:pPr>
              <w:spacing w:after="80"/>
              <w:rPr>
                <w:sz w:val="20"/>
                <w:szCs w:val="20"/>
              </w:rPr>
            </w:pPr>
            <w:r>
              <w:rPr>
                <w:sz w:val="20"/>
                <w:szCs w:val="20"/>
              </w:rPr>
              <w:t>257 MW</w:t>
            </w:r>
          </w:p>
        </w:tc>
      </w:tr>
      <w:tr w:rsidR="00391FA1" w:rsidRPr="00E73A60" w14:paraId="799A2F65" w14:textId="77777777" w:rsidTr="00391FA1">
        <w:tc>
          <w:tcPr>
            <w:tcW w:w="3681" w:type="dxa"/>
          </w:tcPr>
          <w:p w14:paraId="0BA312E3" w14:textId="3A66E72D" w:rsidR="001E3FA8" w:rsidRPr="00E73A60" w:rsidRDefault="00E73A60" w:rsidP="00DA72D3">
            <w:pPr>
              <w:spacing w:after="80"/>
              <w:rPr>
                <w:sz w:val="20"/>
                <w:szCs w:val="20"/>
              </w:rPr>
            </w:pPr>
            <w:r>
              <w:rPr>
                <w:sz w:val="20"/>
                <w:szCs w:val="20"/>
              </w:rPr>
              <w:t>Dépenses totales, y/c réseau</w:t>
            </w:r>
          </w:p>
        </w:tc>
        <w:tc>
          <w:tcPr>
            <w:tcW w:w="1417" w:type="dxa"/>
          </w:tcPr>
          <w:p w14:paraId="0A183AD3" w14:textId="226279B5" w:rsidR="001E3FA8" w:rsidRPr="00E73A60" w:rsidRDefault="00E73A60" w:rsidP="00DA72D3">
            <w:pPr>
              <w:spacing w:after="80"/>
              <w:rPr>
                <w:sz w:val="20"/>
                <w:szCs w:val="20"/>
              </w:rPr>
            </w:pPr>
            <w:r>
              <w:rPr>
                <w:sz w:val="20"/>
                <w:szCs w:val="20"/>
              </w:rPr>
              <w:t>362 M€</w:t>
            </w:r>
          </w:p>
        </w:tc>
        <w:tc>
          <w:tcPr>
            <w:tcW w:w="1560" w:type="dxa"/>
          </w:tcPr>
          <w:p w14:paraId="5E957882" w14:textId="47633822" w:rsidR="001E3FA8" w:rsidRPr="00E73A60" w:rsidRDefault="00E73A60" w:rsidP="00DA72D3">
            <w:pPr>
              <w:spacing w:after="80"/>
              <w:rPr>
                <w:sz w:val="20"/>
                <w:szCs w:val="20"/>
              </w:rPr>
            </w:pPr>
            <w:r>
              <w:rPr>
                <w:sz w:val="20"/>
                <w:szCs w:val="20"/>
              </w:rPr>
              <w:t>354 M€</w:t>
            </w:r>
          </w:p>
        </w:tc>
        <w:tc>
          <w:tcPr>
            <w:tcW w:w="1417" w:type="dxa"/>
          </w:tcPr>
          <w:p w14:paraId="273CF47C" w14:textId="02352AF1" w:rsidR="001E3FA8" w:rsidRPr="00E73A60" w:rsidRDefault="004A33C9" w:rsidP="00DA72D3">
            <w:pPr>
              <w:spacing w:after="80"/>
              <w:rPr>
                <w:sz w:val="20"/>
                <w:szCs w:val="20"/>
              </w:rPr>
            </w:pPr>
            <w:r>
              <w:rPr>
                <w:sz w:val="20"/>
                <w:szCs w:val="20"/>
              </w:rPr>
              <w:t>283 M€</w:t>
            </w:r>
          </w:p>
        </w:tc>
        <w:tc>
          <w:tcPr>
            <w:tcW w:w="1413" w:type="dxa"/>
          </w:tcPr>
          <w:p w14:paraId="687C0A0B" w14:textId="56691388" w:rsidR="001E3FA8" w:rsidRPr="00E73A60" w:rsidRDefault="004A33C9" w:rsidP="00DA72D3">
            <w:pPr>
              <w:spacing w:after="80"/>
              <w:rPr>
                <w:sz w:val="20"/>
                <w:szCs w:val="20"/>
              </w:rPr>
            </w:pPr>
            <w:r>
              <w:rPr>
                <w:sz w:val="20"/>
                <w:szCs w:val="20"/>
              </w:rPr>
              <w:t>286 M€</w:t>
            </w:r>
          </w:p>
        </w:tc>
      </w:tr>
      <w:tr w:rsidR="00CF4F8D" w:rsidRPr="00E73A60" w14:paraId="4C8FF04C" w14:textId="77777777" w:rsidTr="006D06F6">
        <w:tc>
          <w:tcPr>
            <w:tcW w:w="9488" w:type="dxa"/>
            <w:gridSpan w:val="5"/>
          </w:tcPr>
          <w:p w14:paraId="72589D1A" w14:textId="2EE5405A" w:rsidR="00CF4F8D" w:rsidRDefault="00CF4F8D" w:rsidP="00DA72D3">
            <w:pPr>
              <w:spacing w:after="80"/>
              <w:rPr>
                <w:sz w:val="20"/>
                <w:szCs w:val="20"/>
              </w:rPr>
            </w:pPr>
            <w:r>
              <w:rPr>
                <w:sz w:val="20"/>
                <w:szCs w:val="20"/>
              </w:rPr>
              <w:t>* et sans marge de précaution</w:t>
            </w:r>
          </w:p>
        </w:tc>
      </w:tr>
    </w:tbl>
    <w:p w14:paraId="2E20D075" w14:textId="247CB376" w:rsidR="00571728" w:rsidRDefault="00571728" w:rsidP="00DA72D3">
      <w:pPr>
        <w:spacing w:after="80"/>
      </w:pPr>
    </w:p>
    <w:p w14:paraId="582CB06E" w14:textId="77777777" w:rsidR="00C53F9E" w:rsidRDefault="00C53F9E" w:rsidP="00DA72D3">
      <w:pPr>
        <w:spacing w:after="80"/>
        <w:rPr>
          <w:b/>
          <w:bCs/>
        </w:rPr>
      </w:pPr>
      <w:r>
        <w:rPr>
          <w:b/>
          <w:bCs/>
        </w:rPr>
        <w:br/>
      </w:r>
    </w:p>
    <w:p w14:paraId="59691048" w14:textId="77777777" w:rsidR="00C53F9E" w:rsidRDefault="00C53F9E" w:rsidP="00DA72D3">
      <w:pPr>
        <w:spacing w:after="80"/>
        <w:rPr>
          <w:b/>
          <w:bCs/>
        </w:rPr>
      </w:pPr>
    </w:p>
    <w:p w14:paraId="291511A3" w14:textId="77777777" w:rsidR="00C53F9E" w:rsidRDefault="00C53F9E" w:rsidP="00DA72D3">
      <w:pPr>
        <w:spacing w:after="80"/>
        <w:rPr>
          <w:b/>
          <w:bCs/>
        </w:rPr>
      </w:pPr>
    </w:p>
    <w:p w14:paraId="58B0F0EE" w14:textId="2EA272A6" w:rsidR="00DA72D3" w:rsidRPr="00391FA1" w:rsidRDefault="00DA72D3" w:rsidP="00DA72D3">
      <w:pPr>
        <w:spacing w:after="80"/>
        <w:rPr>
          <w:b/>
          <w:bCs/>
        </w:rPr>
      </w:pPr>
      <w:r w:rsidRPr="00391FA1">
        <w:rPr>
          <w:b/>
          <w:bCs/>
        </w:rPr>
        <w:t>Commentaires</w:t>
      </w:r>
    </w:p>
    <w:p w14:paraId="14109ADD" w14:textId="02FA7819" w:rsidR="00DA72D3" w:rsidRDefault="00DA72D3" w:rsidP="00DA72D3">
      <w:pPr>
        <w:spacing w:after="80"/>
      </w:pPr>
      <w:r>
        <w:t xml:space="preserve">Une capacité de 200 GW de nucléaire divise par 3 ou 4 les émissions de CO2 ; diminue les dépenses de </w:t>
      </w:r>
      <w:r w:rsidR="00391FA1">
        <w:t>2</w:t>
      </w:r>
      <w:r>
        <w:t>0 %, améliore considérablement la sécurité d’approvisionnement de deux façons : elle dimi</w:t>
      </w:r>
      <w:r w:rsidR="00391FA1">
        <w:t>nue le besoin d’importation</w:t>
      </w:r>
      <w:r w:rsidR="00CF4F8D">
        <w:t xml:space="preserve"> et e</w:t>
      </w:r>
      <w:r w:rsidR="00391FA1">
        <w:t xml:space="preserve">lle diminue  </w:t>
      </w:r>
      <w:r w:rsidR="00C53F9E">
        <w:t xml:space="preserve">de 40 % la </w:t>
      </w:r>
      <w:r w:rsidR="00391FA1">
        <w:t>capacité pilotable à partir d</w:t>
      </w:r>
      <w:r w:rsidR="00C53F9E">
        <w:t>’énergie fossile qui serait nécessaire en cas de défaillance de l’importation.</w:t>
      </w:r>
    </w:p>
    <w:p w14:paraId="29E62606" w14:textId="77777777" w:rsidR="00CF4F8D" w:rsidRDefault="00CF4F8D" w:rsidP="00DA72D3">
      <w:pPr>
        <w:spacing w:after="80"/>
        <w:rPr>
          <w:sz w:val="20"/>
          <w:szCs w:val="20"/>
        </w:rPr>
      </w:pPr>
    </w:p>
    <w:p w14:paraId="1867B70B" w14:textId="77777777" w:rsidR="00391FA1" w:rsidRPr="00A47D43" w:rsidRDefault="00391FA1" w:rsidP="00DA72D3">
      <w:pPr>
        <w:spacing w:after="80"/>
      </w:pPr>
    </w:p>
    <w:sectPr w:rsidR="00391FA1" w:rsidRPr="00A47D43" w:rsidSect="00DA72D3">
      <w:pgSz w:w="11906" w:h="16838"/>
      <w:pgMar w:top="709" w:right="991"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10584"/>
    <w:multiLevelType w:val="hybridMultilevel"/>
    <w:tmpl w:val="A134CD9C"/>
    <w:lvl w:ilvl="0" w:tplc="60FAD8E0">
      <w:start w:val="2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253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F4"/>
    <w:rsid w:val="00106914"/>
    <w:rsid w:val="001963F0"/>
    <w:rsid w:val="001C482F"/>
    <w:rsid w:val="001E3FA8"/>
    <w:rsid w:val="002849FC"/>
    <w:rsid w:val="00311885"/>
    <w:rsid w:val="003370E0"/>
    <w:rsid w:val="00391FA1"/>
    <w:rsid w:val="003F34C3"/>
    <w:rsid w:val="00410A4F"/>
    <w:rsid w:val="00421FD7"/>
    <w:rsid w:val="004A33C9"/>
    <w:rsid w:val="004B56D9"/>
    <w:rsid w:val="004D6701"/>
    <w:rsid w:val="00506049"/>
    <w:rsid w:val="00524476"/>
    <w:rsid w:val="00571728"/>
    <w:rsid w:val="00582BA1"/>
    <w:rsid w:val="00671191"/>
    <w:rsid w:val="009370B6"/>
    <w:rsid w:val="00A33061"/>
    <w:rsid w:val="00A47D43"/>
    <w:rsid w:val="00AA48F4"/>
    <w:rsid w:val="00C53F9E"/>
    <w:rsid w:val="00CE1E6C"/>
    <w:rsid w:val="00CF4F8D"/>
    <w:rsid w:val="00DA72D3"/>
    <w:rsid w:val="00E73A60"/>
    <w:rsid w:val="00E84BD2"/>
    <w:rsid w:val="00ED266A"/>
    <w:rsid w:val="00F8137E"/>
    <w:rsid w:val="00FA700C"/>
    <w:rsid w:val="00FB5FCE"/>
    <w:rsid w:val="00FF4A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0B58"/>
  <w15:chartTrackingRefBased/>
  <w15:docId w15:val="{2B0F9C41-99AD-49E6-9656-B3618C47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A4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A4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A48F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A48F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A48F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A48F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48F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48F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48F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48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A48F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A48F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A48F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A48F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A48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48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48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48F4"/>
    <w:rPr>
      <w:rFonts w:eastAsiaTheme="majorEastAsia" w:cstheme="majorBidi"/>
      <w:color w:val="272727" w:themeColor="text1" w:themeTint="D8"/>
    </w:rPr>
  </w:style>
  <w:style w:type="paragraph" w:styleId="Titre">
    <w:name w:val="Title"/>
    <w:basedOn w:val="Normal"/>
    <w:next w:val="Normal"/>
    <w:link w:val="TitreCar"/>
    <w:uiPriority w:val="10"/>
    <w:qFormat/>
    <w:rsid w:val="00AA4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48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48F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48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48F4"/>
    <w:pPr>
      <w:spacing w:before="160"/>
      <w:jc w:val="center"/>
    </w:pPr>
    <w:rPr>
      <w:i/>
      <w:iCs/>
      <w:color w:val="404040" w:themeColor="text1" w:themeTint="BF"/>
    </w:rPr>
  </w:style>
  <w:style w:type="character" w:customStyle="1" w:styleId="CitationCar">
    <w:name w:val="Citation Car"/>
    <w:basedOn w:val="Policepardfaut"/>
    <w:link w:val="Citation"/>
    <w:uiPriority w:val="29"/>
    <w:rsid w:val="00AA48F4"/>
    <w:rPr>
      <w:i/>
      <w:iCs/>
      <w:color w:val="404040" w:themeColor="text1" w:themeTint="BF"/>
    </w:rPr>
  </w:style>
  <w:style w:type="paragraph" w:styleId="Paragraphedeliste">
    <w:name w:val="List Paragraph"/>
    <w:basedOn w:val="Normal"/>
    <w:uiPriority w:val="34"/>
    <w:qFormat/>
    <w:rsid w:val="00AA48F4"/>
    <w:pPr>
      <w:ind w:left="720"/>
      <w:contextualSpacing/>
    </w:pPr>
  </w:style>
  <w:style w:type="character" w:styleId="Accentuationintense">
    <w:name w:val="Intense Emphasis"/>
    <w:basedOn w:val="Policepardfaut"/>
    <w:uiPriority w:val="21"/>
    <w:qFormat/>
    <w:rsid w:val="00AA48F4"/>
    <w:rPr>
      <w:i/>
      <w:iCs/>
      <w:color w:val="0F4761" w:themeColor="accent1" w:themeShade="BF"/>
    </w:rPr>
  </w:style>
  <w:style w:type="paragraph" w:styleId="Citationintense">
    <w:name w:val="Intense Quote"/>
    <w:basedOn w:val="Normal"/>
    <w:next w:val="Normal"/>
    <w:link w:val="CitationintenseCar"/>
    <w:uiPriority w:val="30"/>
    <w:qFormat/>
    <w:rsid w:val="00AA4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A48F4"/>
    <w:rPr>
      <w:i/>
      <w:iCs/>
      <w:color w:val="0F4761" w:themeColor="accent1" w:themeShade="BF"/>
    </w:rPr>
  </w:style>
  <w:style w:type="character" w:styleId="Rfrenceintense">
    <w:name w:val="Intense Reference"/>
    <w:basedOn w:val="Policepardfaut"/>
    <w:uiPriority w:val="32"/>
    <w:qFormat/>
    <w:rsid w:val="00AA48F4"/>
    <w:rPr>
      <w:b/>
      <w:bCs/>
      <w:smallCaps/>
      <w:color w:val="0F4761" w:themeColor="accent1" w:themeShade="BF"/>
      <w:spacing w:val="5"/>
    </w:rPr>
  </w:style>
  <w:style w:type="table" w:styleId="Grilledutableau">
    <w:name w:val="Table Grid"/>
    <w:basedOn w:val="TableauNormal"/>
    <w:uiPriority w:val="39"/>
    <w:rsid w:val="001E3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Prévot</dc:creator>
  <cp:keywords/>
  <dc:description/>
  <cp:lastModifiedBy>Marc Prévot</cp:lastModifiedBy>
  <cp:revision>11</cp:revision>
  <dcterms:created xsi:type="dcterms:W3CDTF">2025-08-06T16:28:00Z</dcterms:created>
  <dcterms:modified xsi:type="dcterms:W3CDTF">2025-08-08T06:54:00Z</dcterms:modified>
</cp:coreProperties>
</file>